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caps/>
          <w:color w:val="6D4BF0"/>
          <w:sz w:val="19"/>
        </w:rPr>
        <w:t>NORDSTERN TECHNOLOGIES</w:t>
      </w:r>
    </w:p>
    <w:p>
      <w:pPr>
        <w:spacing w:after="520"/>
      </w:pPr>
      <w:r>
        <w:rPr>
          <w:color w:val="6B7284"/>
          <w:sz w:val="19"/>
        </w:rPr>
        <w:t>Template</w:t>
      </w:r>
    </w:p>
    <w:p>
      <w:pPr>
        <w:spacing w:after="80"/>
      </w:pPr>
      <w:r>
        <w:rPr>
          <w:b/>
          <w:color w:val="120B38"/>
          <w:sz w:val="68"/>
        </w:rPr>
        <w:t>Incident Response Plan</w:t>
      </w:r>
    </w:p>
    <w:p>
      <w:pPr>
        <w:spacing w:after="320"/>
      </w:pPr>
      <w:r>
        <w:rPr>
          <w:b w:val="0"/>
          <w:i w:val="0"/>
          <w:color w:val="6B7284"/>
          <w:sz w:val="26"/>
        </w:rPr>
        <w:t>Section structure and guidance notes</w:t>
      </w:r>
    </w:p>
    <w:p>
      <w:pPr>
        <w:pBdr>
          <w:bottom w:val="single" w:sz="18" w:space="1" w:color="6D4BF0"/>
        </w:pBdr>
        <w:spacing w:after="280"/>
      </w:pPr>
    </w:p>
    <w:p>
      <w:pPr>
        <w:spacing w:after="160"/>
        <w:keepNext w:val="1"/>
      </w:pPr>
      <w:r>
        <w:rPr>
          <w:b w:val="0"/>
          <w:i/>
          <w:color w:val="6B7284"/>
          <w:sz w:val="18"/>
        </w:rPr>
        <w:t>Aligned to NIST SP 800-61r3 (April 2025), which replaced the four-phase lifecycle with the CSF 2.0 Functions, and to the elements PCI DSS v4.0.1 Requirement 12.10 expects. Replace every bracketed prompt with your own content and delete these grey notes before approval.</w:t>
      </w:r>
    </w:p>
    <w:p/>
    <w:p>
      <w:pPr>
        <w:spacing w:after="60"/>
      </w:pPr>
      <w:r>
        <w:rPr>
          <w:b/>
          <w:sz w:val="21"/>
        </w:rPr>
        <w:t xml:space="preserve">Organization:  </w:t>
      </w:r>
      <w:r>
        <w:rPr>
          <w:i/>
          <w:color w:val="6B7284"/>
          <w:sz w:val="21"/>
        </w:rPr>
        <w:t>[ legal entity name ]</w:t>
      </w:r>
    </w:p>
    <w:p>
      <w:pPr>
        <w:spacing w:after="60"/>
      </w:pPr>
      <w:r>
        <w:rPr>
          <w:b/>
          <w:sz w:val="21"/>
        </w:rPr>
        <w:t xml:space="preserve">Plan owner:  </w:t>
      </w:r>
      <w:r>
        <w:rPr>
          <w:i/>
          <w:color w:val="6B7284"/>
          <w:sz w:val="21"/>
        </w:rPr>
        <w:t>[ name, role and contact ]</w:t>
      </w:r>
    </w:p>
    <w:p>
      <w:pPr>
        <w:spacing w:after="60"/>
      </w:pPr>
      <w:r>
        <w:rPr>
          <w:b/>
          <w:sz w:val="21"/>
        </w:rPr>
        <w:t xml:space="preserve">Version:  </w:t>
      </w:r>
      <w:r>
        <w:rPr>
          <w:i/>
          <w:color w:val="6B7284"/>
          <w:sz w:val="21"/>
        </w:rPr>
        <w:t>[ e.g. 1.0 ]</w:t>
      </w:r>
    </w:p>
    <w:p>
      <w:pPr>
        <w:spacing w:after="60"/>
      </w:pPr>
      <w:r>
        <w:rPr>
          <w:b/>
          <w:sz w:val="21"/>
        </w:rPr>
        <w:t xml:space="preserve">Approved by:  </w:t>
      </w:r>
      <w:r>
        <w:rPr>
          <w:i/>
          <w:color w:val="6B7284"/>
          <w:sz w:val="21"/>
        </w:rPr>
        <w:t>[ name and role of the approver ]</w:t>
      </w:r>
    </w:p>
    <w:p>
      <w:pPr>
        <w:spacing w:after="60"/>
      </w:pPr>
      <w:r>
        <w:rPr>
          <w:b/>
          <w:sz w:val="21"/>
        </w:rPr>
        <w:t xml:space="preserve">Approval date:  </w:t>
      </w:r>
      <w:r>
        <w:rPr>
          <w:i/>
          <w:color w:val="6B7284"/>
          <w:sz w:val="21"/>
        </w:rPr>
        <w:t>[ DD Mon YYYY ]</w:t>
      </w:r>
    </w:p>
    <w:p>
      <w:pPr>
        <w:spacing w:after="60"/>
      </w:pPr>
      <w:r>
        <w:rPr>
          <w:b/>
          <w:sz w:val="21"/>
        </w:rPr>
        <w:t xml:space="preserve">Next review date:  </w:t>
      </w:r>
      <w:r>
        <w:rPr>
          <w:i/>
          <w:color w:val="6B7284"/>
          <w:sz w:val="21"/>
        </w:rPr>
        <w:t>[ no more than 12 months after approval ]</w:t>
      </w:r>
    </w:p>
    <w:p/>
    <w:p>
      <w:pPr>
        <w:spacing w:after="80"/>
      </w:pPr>
      <w:r>
        <w:rPr>
          <w:b/>
          <w:i w:val="0"/>
          <w:color w:val="1A2230"/>
          <w:sz w:val="22"/>
        </w:rPr>
        <w:t>How to use this template</w:t>
      </w:r>
    </w:p>
    <w:p>
      <w:pPr>
        <w:spacing w:after="120"/>
      </w:pPr>
      <w:r>
        <w:rPr>
          <w:b w:val="0"/>
          <w:i w:val="0"/>
          <w:color w:val="6B7284"/>
          <w:sz w:val="20"/>
        </w:rPr>
        <w:t>Work top to bottom. The sections people leave vague — scope, severity, who decides — are the ones that fail during a real incident. Print Annex A and keep it with the plan: your copy may live on the network you have just disconnected.</w:t>
      </w:r>
    </w:p>
    <w:p>
      <w:r>
        <w:br w:type="page"/>
      </w:r>
    </w:p>
    <w:p>
      <w:pPr>
        <w:pStyle w:val="Heading1"/>
        <w:spacing w:before="400" w:after="40"/>
        <w:keepNext w:val="1"/>
      </w:pPr>
      <w:r>
        <w:rPr>
          <w:b/>
          <w:color w:val="6D4BF0"/>
          <w:sz w:val="30"/>
        </w:rPr>
        <w:t>1. Purpose and scope</w:t>
      </w:r>
    </w:p>
    <w:p>
      <w:pPr>
        <w:spacing w:after="160"/>
        <w:keepNext w:val="1"/>
      </w:pPr>
      <w:r>
        <w:rPr>
          <w:b w:val="0"/>
          <w:i/>
          <w:color w:val="6B7284"/>
          <w:sz w:val="18"/>
        </w:rPr>
        <w:t>State what this plan covers and what it does not: systems, data types, locations, subsidiaries. If PCI DSS applies, name the cardholder data environment explicitly (Req. 12.10.1 expects coverage of all critical system components).</w:t>
      </w:r>
    </w:p>
    <w:p>
      <w:pPr>
        <w:spacing w:after="60"/>
      </w:pPr>
      <w:r>
        <w:rPr>
          <w:b/>
          <w:sz w:val="21"/>
        </w:rPr>
        <w:t xml:space="preserve">Systems and services in scope:  </w:t>
      </w:r>
      <w:r>
        <w:rPr>
          <w:i/>
          <w:color w:val="6B7284"/>
          <w:sz w:val="21"/>
        </w:rPr>
        <w:t>[ name the cardholder data environment explicitly if PCI DSS applies ]</w:t>
      </w:r>
    </w:p>
    <w:p>
      <w:pPr>
        <w:spacing w:after="60"/>
      </w:pPr>
      <w:r>
        <w:rPr>
          <w:b/>
          <w:sz w:val="21"/>
        </w:rPr>
        <w:t xml:space="preserve">Data types in scope:  </w:t>
      </w:r>
      <w:r>
        <w:rPr>
          <w:i/>
          <w:color w:val="6B7284"/>
          <w:sz w:val="21"/>
        </w:rPr>
        <w:t>[ cardholder data, personal data, credentials, health data ]</w:t>
      </w:r>
    </w:p>
    <w:p>
      <w:pPr>
        <w:spacing w:after="60"/>
      </w:pPr>
      <w:r>
        <w:rPr>
          <w:b/>
          <w:sz w:val="21"/>
        </w:rPr>
        <w:t xml:space="preserve">Locations and entities:  </w:t>
      </w:r>
      <w:r>
        <w:rPr>
          <w:i/>
          <w:color w:val="6B7284"/>
          <w:sz w:val="21"/>
        </w:rPr>
        <w:t>[ sites, countries, subsidiaries ]</w:t>
      </w:r>
    </w:p>
    <w:p>
      <w:pPr>
        <w:spacing w:after="60"/>
      </w:pPr>
      <w:r>
        <w:rPr>
          <w:b/>
          <w:sz w:val="21"/>
        </w:rPr>
        <w:t xml:space="preserve">Explicit exclusions:  </w:t>
      </w:r>
      <w:r>
        <w:rPr>
          <w:i/>
          <w:color w:val="6B7284"/>
          <w:sz w:val="21"/>
        </w:rPr>
        <w:t>[ what this plan does not cover, and why ]</w:t>
      </w:r>
    </w:p>
    <w:p>
      <w:pPr>
        <w:pStyle w:val="Heading1"/>
        <w:spacing w:before="400" w:after="40"/>
        <w:keepNext w:val="1"/>
      </w:pPr>
      <w:r>
        <w:rPr>
          <w:b/>
          <w:color w:val="6D4BF0"/>
          <w:sz w:val="30"/>
        </w:rPr>
        <w:t>2. Definitions</w:t>
      </w:r>
    </w:p>
    <w:p>
      <w:pPr>
        <w:spacing w:after="160"/>
        <w:keepNext w:val="1"/>
      </w:pPr>
      <w:r>
        <w:rPr>
          <w:b w:val="0"/>
          <w:i/>
          <w:color w:val="6B7284"/>
          <w:sz w:val="18"/>
        </w:rPr>
        <w:t>Define event, incident and breach, and the threshold that promotes one into the next. This is the decision that gets argued about at 3 a.m., so write it down now.</w:t>
      </w:r>
    </w:p>
    <w:p>
      <w:pPr>
        <w:spacing w:after="60"/>
      </w:pPr>
      <w:r>
        <w:rPr>
          <w:b/>
          <w:sz w:val="21"/>
        </w:rPr>
        <w:t xml:space="preserve">Event:  </w:t>
      </w:r>
      <w:r>
        <w:rPr>
          <w:i/>
          <w:color w:val="6B7284"/>
          <w:sz w:val="21"/>
        </w:rPr>
        <w:t>[ your definition ]</w:t>
      </w:r>
    </w:p>
    <w:p>
      <w:pPr>
        <w:spacing w:after="60"/>
      </w:pPr>
      <w:r>
        <w:rPr>
          <w:b/>
          <w:sz w:val="21"/>
        </w:rPr>
        <w:t xml:space="preserve">Incident:  </w:t>
      </w:r>
      <w:r>
        <w:rPr>
          <w:i/>
          <w:color w:val="6B7284"/>
          <w:sz w:val="21"/>
        </w:rPr>
        <w:t>[ your definition ]</w:t>
      </w:r>
    </w:p>
    <w:p>
      <w:pPr>
        <w:spacing w:after="60"/>
      </w:pPr>
      <w:r>
        <w:rPr>
          <w:b/>
          <w:sz w:val="21"/>
        </w:rPr>
        <w:t xml:space="preserve">Breach:  </w:t>
      </w:r>
      <w:r>
        <w:rPr>
          <w:i/>
          <w:color w:val="6B7284"/>
          <w:sz w:val="21"/>
        </w:rPr>
        <w:t>[ your definition ]</w:t>
      </w:r>
    </w:p>
    <w:p>
      <w:pPr>
        <w:spacing w:after="60"/>
      </w:pPr>
      <w:r>
        <w:rPr>
          <w:b/>
          <w:sz w:val="21"/>
        </w:rPr>
        <w:t xml:space="preserve">Promotion criteria:  </w:t>
      </w:r>
      <w:r>
        <w:rPr>
          <w:i/>
          <w:color w:val="6B7284"/>
          <w:sz w:val="21"/>
        </w:rPr>
        <w:t>[ what turns an event into an incident, and who decides ]</w:t>
      </w:r>
    </w:p>
    <w:p>
      <w:pPr>
        <w:pStyle w:val="Heading1"/>
        <w:spacing w:before="400" w:after="40"/>
        <w:keepNext w:val="1"/>
      </w:pPr>
      <w:r>
        <w:rPr>
          <w:b/>
          <w:color w:val="6D4BF0"/>
          <w:sz w:val="30"/>
        </w:rPr>
        <w:t>3. Roles and responsibilities</w:t>
      </w:r>
    </w:p>
    <w:p>
      <w:pPr>
        <w:spacing w:after="160"/>
        <w:keepNext w:val="1"/>
      </w:pPr>
      <w:r>
        <w:rPr>
          <w:b w:val="0"/>
          <w:i/>
          <w:color w:val="6B7284"/>
          <w:sz w:val="18"/>
        </w:rPr>
        <w:t>Name people, not only job titles, and give every role a deputy. Include external parties: acquirer, payment brands, forensic investigator, insurer, outside counsel, QSA.</w:t>
      </w:r>
    </w:p>
    <w:p>
      <w:pPr>
        <w:spacing w:after="60"/>
      </w:pPr>
      <w:r>
        <w:rPr>
          <w:b/>
          <w:sz w:val="21"/>
        </w:rPr>
        <w:t xml:space="preserve">Incident lead (and deputy):  </w:t>
      </w:r>
      <w:r>
        <w:rPr>
          <w:i/>
          <w:color w:val="6B7284"/>
          <w:sz w:val="21"/>
        </w:rPr>
        <w:t>[ names, not job titles ]</w:t>
      </w:r>
    </w:p>
    <w:p>
      <w:pPr>
        <w:spacing w:after="60"/>
      </w:pPr>
      <w:r>
        <w:rPr>
          <w:b/>
          <w:sz w:val="21"/>
        </w:rPr>
        <w:t xml:space="preserve">Technical lead (and deputy):  </w:t>
      </w:r>
      <w:r>
        <w:rPr>
          <w:i/>
          <w:color w:val="6B7284"/>
          <w:sz w:val="21"/>
        </w:rPr>
        <w:t>[ names, not job titles ]</w:t>
      </w:r>
    </w:p>
    <w:p>
      <w:pPr>
        <w:spacing w:after="60"/>
      </w:pPr>
      <w:r>
        <w:rPr>
          <w:b/>
          <w:sz w:val="21"/>
        </w:rPr>
        <w:t xml:space="preserve">Communications lead:  </w:t>
      </w:r>
      <w:r>
        <w:rPr>
          <w:i/>
          <w:color w:val="6B7284"/>
          <w:sz w:val="21"/>
        </w:rPr>
        <w:t>[ name and out-of-hours number ]</w:t>
      </w:r>
    </w:p>
    <w:p>
      <w:pPr>
        <w:spacing w:after="60"/>
      </w:pPr>
      <w:r>
        <w:rPr>
          <w:b/>
          <w:sz w:val="21"/>
        </w:rPr>
        <w:t xml:space="preserve">Legal / privacy contact:  </w:t>
      </w:r>
      <w:r>
        <w:rPr>
          <w:i/>
          <w:color w:val="6B7284"/>
          <w:sz w:val="21"/>
        </w:rPr>
        <w:t>[ name; internal or outside counsel ]</w:t>
      </w:r>
    </w:p>
    <w:p>
      <w:pPr>
        <w:spacing w:after="60"/>
      </w:pPr>
      <w:r>
        <w:rPr>
          <w:b/>
          <w:sz w:val="21"/>
        </w:rPr>
        <w:t xml:space="preserve">Executive sponsor:  </w:t>
      </w:r>
      <w:r>
        <w:rPr>
          <w:i/>
          <w:color w:val="6B7284"/>
          <w:sz w:val="21"/>
        </w:rPr>
        <w:t>[ name and out-of-hours number ]</w:t>
      </w:r>
    </w:p>
    <w:p>
      <w:pPr>
        <w:spacing w:after="60"/>
      </w:pPr>
      <w:r>
        <w:rPr>
          <w:b/>
          <w:sz w:val="21"/>
        </w:rPr>
        <w:t xml:space="preserve">External contacts:  </w:t>
      </w:r>
      <w:r>
        <w:rPr>
          <w:i/>
          <w:color w:val="6B7284"/>
          <w:sz w:val="21"/>
        </w:rPr>
        <w:t>[ acquirer, forensic investigator, insurer, QSA ]</w:t>
      </w:r>
    </w:p>
    <w:p>
      <w:pPr>
        <w:pStyle w:val="Heading1"/>
        <w:spacing w:before="400" w:after="40"/>
        <w:keepNext w:val="1"/>
      </w:pPr>
      <w:r>
        <w:rPr>
          <w:b/>
          <w:color w:val="6D4BF0"/>
          <w:sz w:val="30"/>
        </w:rPr>
        <w:t>4. Severity classification</w:t>
      </w:r>
    </w:p>
    <w:p>
      <w:pPr>
        <w:spacing w:after="160"/>
        <w:keepNext w:val="1"/>
      </w:pPr>
      <w:r>
        <w:rPr>
          <w:b w:val="0"/>
          <w:i/>
          <w:color w:val="6B7284"/>
          <w:sz w:val="18"/>
        </w:rPr>
        <w:t>One line per level: definition, example, acknowledgement time and who is notified. Agree it with the business before you need it.</w:t>
      </w:r>
    </w:p>
    <w:tbl>
      <w:tblPr>
        <w:tblW w:type="auto" w:w="0"/>
        <w:jc w:val="left"/>
        <w:tblLayout w:type="fixed"/>
        <w:tblLook w:firstColumn="1" w:firstRow="1" w:lastColumn="0" w:lastRow="0" w:noHBand="0" w:noVBand="1" w:val="04A0"/>
      </w:tblPr>
      <w:tblGrid>
        <w:gridCol w:w="2323"/>
        <w:gridCol w:w="2323"/>
        <w:gridCol w:w="2323"/>
        <w:gridCol w:w="2323"/>
      </w:tblGrid>
      <w:tr>
        <w:trPr>
          <w:cantSplit/>
          <w:tblHeader/>
        </w:trPr>
        <w:tc>
          <w:tcPr>
            <w:tcW w:type="dxa" w:w="1701"/>
            <w:shd w:val="clear" w:color="auto" w:fill="4A2FD0"/>
          </w:tcPr>
          <w:p>
            <w:r/>
            <w:r>
              <w:rPr>
                <w:b/>
                <w:color w:val="FFFFFF"/>
                <w:sz w:val="19"/>
              </w:rPr>
              <w:t>Level</w:t>
            </w:r>
          </w:p>
        </w:tc>
        <w:tc>
          <w:tcPr>
            <w:tcW w:type="dxa" w:w="3628"/>
            <w:shd w:val="clear" w:color="auto" w:fill="4A2FD0"/>
          </w:tcPr>
          <w:p>
            <w:r/>
            <w:r>
              <w:rPr>
                <w:b/>
                <w:color w:val="FFFFFF"/>
                <w:sz w:val="19"/>
              </w:rPr>
              <w:t>Definition and example</w:t>
            </w:r>
          </w:p>
        </w:tc>
        <w:tc>
          <w:tcPr>
            <w:tcW w:type="dxa" w:w="1814"/>
            <w:shd w:val="clear" w:color="auto" w:fill="4A2FD0"/>
          </w:tcPr>
          <w:p>
            <w:r/>
            <w:r>
              <w:rPr>
                <w:b/>
                <w:color w:val="FFFFFF"/>
                <w:sz w:val="19"/>
              </w:rPr>
              <w:t>Acknowledge</w:t>
            </w:r>
          </w:p>
        </w:tc>
        <w:tc>
          <w:tcPr>
            <w:tcW w:type="dxa" w:w="2041"/>
            <w:shd w:val="clear" w:color="auto" w:fill="4A2FD0"/>
          </w:tcPr>
          <w:p>
            <w:r/>
            <w:r>
              <w:rPr>
                <w:b/>
                <w:color w:val="FFFFFF"/>
                <w:sz w:val="19"/>
              </w:rPr>
              <w:t>Notify</w:t>
            </w:r>
          </w:p>
        </w:tc>
      </w:tr>
      <w:tr>
        <w:trPr>
          <w:cantSplit/>
        </w:trPr>
        <w:tc>
          <w:tcPr>
            <w:tcW w:type="dxa" w:w="1701"/>
            <w:shd w:val="clear" w:color="auto" w:fill="F1EEFE"/>
          </w:tcPr>
          <w:p>
            <w:pPr>
              <w:spacing w:after="40"/>
            </w:pPr>
            <w:r/>
            <w:r>
              <w:rPr>
                <w:b/>
                <w:sz w:val="18"/>
              </w:rPr>
              <w:t>SEV1  Critical</w:t>
            </w:r>
          </w:p>
        </w:tc>
        <w:tc>
          <w:tcPr>
            <w:tcW w:type="dxa" w:w="3628"/>
            <w:shd w:val="clear" w:color="auto" w:fill="F1EEFE"/>
          </w:tcPr>
          <w:p>
            <w:pPr>
              <w:spacing w:after="40"/>
            </w:pPr>
            <w:r/>
            <w:r>
              <w:rPr>
                <w:sz w:val="18"/>
              </w:rPr>
              <w:t>Confirmed cardholder data compromise, ransomware in production, active exfiltration</w:t>
            </w:r>
          </w:p>
        </w:tc>
        <w:tc>
          <w:tcPr>
            <w:tcW w:type="dxa" w:w="1814"/>
            <w:shd w:val="clear" w:color="auto" w:fill="F1EEFE"/>
          </w:tcPr>
          <w:p>
            <w:pPr>
              <w:spacing w:after="40"/>
            </w:pPr>
            <w:r/>
            <w:r>
              <w:rPr>
                <w:sz w:val="18"/>
              </w:rPr>
              <w:t>15 minutes, any hour</w:t>
            </w:r>
          </w:p>
        </w:tc>
        <w:tc>
          <w:tcPr>
            <w:tcW w:type="dxa" w:w="2041"/>
            <w:shd w:val="clear" w:color="auto" w:fill="F1EEFE"/>
          </w:tcPr>
          <w:p>
            <w:pPr>
              <w:spacing w:after="40"/>
            </w:pPr>
            <w:r/>
            <w:r>
              <w:rPr>
                <w:sz w:val="18"/>
              </w:rPr>
              <w:t>Incident lead, executive sponsor, legal</w:t>
            </w:r>
          </w:p>
        </w:tc>
      </w:tr>
      <w:tr>
        <w:trPr>
          <w:cantSplit/>
        </w:trPr>
        <w:tc>
          <w:tcPr>
            <w:tcW w:type="dxa" w:w="1701"/>
          </w:tcPr>
          <w:p>
            <w:pPr>
              <w:spacing w:after="40"/>
            </w:pPr>
            <w:r/>
            <w:r>
              <w:rPr>
                <w:b/>
                <w:sz w:val="18"/>
              </w:rPr>
              <w:t>SEV2  High</w:t>
            </w:r>
          </w:p>
        </w:tc>
        <w:tc>
          <w:tcPr>
            <w:tcW w:type="dxa" w:w="3628"/>
          </w:tcPr>
          <w:p>
            <w:pPr>
              <w:spacing w:after="40"/>
            </w:pPr>
            <w:r/>
            <w:r>
              <w:rPr>
                <w:sz w:val="18"/>
              </w:rPr>
              <w:t>Confirmed intrusion, no data impact yet; malware on an in-scope server</w:t>
            </w:r>
          </w:p>
        </w:tc>
        <w:tc>
          <w:tcPr>
            <w:tcW w:type="dxa" w:w="1814"/>
          </w:tcPr>
          <w:p>
            <w:pPr>
              <w:spacing w:after="40"/>
            </w:pPr>
            <w:r/>
            <w:r>
              <w:rPr>
                <w:sz w:val="18"/>
              </w:rPr>
              <w:t>30 minutes</w:t>
            </w:r>
          </w:p>
        </w:tc>
        <w:tc>
          <w:tcPr>
            <w:tcW w:type="dxa" w:w="2041"/>
          </w:tcPr>
          <w:p>
            <w:pPr>
              <w:spacing w:after="40"/>
            </w:pPr>
            <w:r/>
            <w:r>
              <w:rPr>
                <w:sz w:val="18"/>
              </w:rPr>
              <w:t>Incident lead; sponsor within 4 hours</w:t>
            </w:r>
          </w:p>
        </w:tc>
      </w:tr>
      <w:tr>
        <w:trPr>
          <w:cantSplit/>
        </w:trPr>
        <w:tc>
          <w:tcPr>
            <w:tcW w:type="dxa" w:w="1701"/>
            <w:shd w:val="clear" w:color="auto" w:fill="F1EEFE"/>
          </w:tcPr>
          <w:p>
            <w:pPr>
              <w:spacing w:after="40"/>
            </w:pPr>
            <w:r/>
            <w:r>
              <w:rPr>
                <w:b/>
                <w:sz w:val="18"/>
              </w:rPr>
              <w:t>SEV3  Medium</w:t>
            </w:r>
          </w:p>
        </w:tc>
        <w:tc>
          <w:tcPr>
            <w:tcW w:type="dxa" w:w="3628"/>
            <w:shd w:val="clear" w:color="auto" w:fill="F1EEFE"/>
          </w:tcPr>
          <w:p>
            <w:pPr>
              <w:spacing w:after="40"/>
            </w:pPr>
            <w:r/>
            <w:r>
              <w:rPr>
                <w:sz w:val="18"/>
              </w:rPr>
              <w:t>Endpoint malware contained; phishing with credentials entered</w:t>
            </w:r>
          </w:p>
        </w:tc>
        <w:tc>
          <w:tcPr>
            <w:tcW w:type="dxa" w:w="1814"/>
            <w:shd w:val="clear" w:color="auto" w:fill="F1EEFE"/>
          </w:tcPr>
          <w:p>
            <w:pPr>
              <w:spacing w:after="40"/>
            </w:pPr>
            <w:r/>
            <w:r>
              <w:rPr>
                <w:sz w:val="18"/>
              </w:rPr>
              <w:t>4 working hours</w:t>
            </w:r>
          </w:p>
        </w:tc>
        <w:tc>
          <w:tcPr>
            <w:tcW w:type="dxa" w:w="2041"/>
            <w:shd w:val="clear" w:color="auto" w:fill="F1EEFE"/>
          </w:tcPr>
          <w:p>
            <w:pPr>
              <w:spacing w:after="40"/>
            </w:pPr>
            <w:r/>
            <w:r>
              <w:rPr>
                <w:sz w:val="18"/>
              </w:rPr>
              <w:t>Security team</w:t>
            </w:r>
          </w:p>
        </w:tc>
      </w:tr>
      <w:tr>
        <w:trPr>
          <w:cantSplit/>
        </w:trPr>
        <w:tc>
          <w:tcPr>
            <w:tcW w:type="dxa" w:w="1701"/>
          </w:tcPr>
          <w:p>
            <w:pPr>
              <w:spacing w:after="40"/>
            </w:pPr>
            <w:r/>
            <w:r>
              <w:rPr>
                <w:b/>
                <w:sz w:val="18"/>
              </w:rPr>
              <w:t>SEV4  Low</w:t>
            </w:r>
          </w:p>
        </w:tc>
        <w:tc>
          <w:tcPr>
            <w:tcW w:type="dxa" w:w="3628"/>
          </w:tcPr>
          <w:p>
            <w:pPr>
              <w:spacing w:after="40"/>
            </w:pPr>
            <w:r/>
            <w:r>
              <w:rPr>
                <w:sz w:val="18"/>
              </w:rPr>
              <w:t>Policy violation; unverified report</w:t>
            </w:r>
          </w:p>
        </w:tc>
        <w:tc>
          <w:tcPr>
            <w:tcW w:type="dxa" w:w="1814"/>
          </w:tcPr>
          <w:p>
            <w:pPr>
              <w:spacing w:after="40"/>
            </w:pPr>
            <w:r/>
            <w:r>
              <w:rPr>
                <w:sz w:val="18"/>
              </w:rPr>
              <w:t>Next working day</w:t>
            </w:r>
          </w:p>
        </w:tc>
        <w:tc>
          <w:tcPr>
            <w:tcW w:type="dxa" w:w="2041"/>
          </w:tcPr>
          <w:p>
            <w:pPr>
              <w:spacing w:after="40"/>
            </w:pPr>
            <w:r/>
            <w:r>
              <w:rPr>
                <w:sz w:val="18"/>
              </w:rPr>
              <w:t>Security team, logged</w:t>
            </w:r>
          </w:p>
        </w:tc>
      </w:tr>
    </w:tbl>
    <w:p/>
    <w:p>
      <w:pPr>
        <w:spacing w:after="160"/>
        <w:keepNext w:val="1"/>
      </w:pPr>
      <w:r>
        <w:rPr>
          <w:b w:val="0"/>
          <w:i/>
          <w:color w:val="6B7284"/>
          <w:sz w:val="18"/>
        </w:rPr>
        <w:t>Example levels. Adapt the times and the escalation to your business before approval.</w:t>
      </w:r>
    </w:p>
    <w:p>
      <w:pPr>
        <w:pStyle w:val="Heading1"/>
        <w:spacing w:before="400" w:after="40"/>
        <w:keepNext w:val="1"/>
      </w:pPr>
      <w:r>
        <w:rPr>
          <w:b/>
          <w:color w:val="6D4BF0"/>
          <w:sz w:val="30"/>
        </w:rPr>
        <w:t>5. Detection and reporting</w:t>
      </w:r>
    </w:p>
    <w:p>
      <w:pPr>
        <w:spacing w:after="160"/>
        <w:keepNext w:val="1"/>
      </w:pPr>
      <w:r>
        <w:rPr>
          <w:b w:val="0"/>
          <w:i/>
          <w:color w:val="6B7284"/>
          <w:sz w:val="18"/>
        </w:rPr>
        <w:t>Every channel an incident can arrive through, plus one phone number and one mailbox that work out of hours, and the information to capture on first report.</w:t>
      </w:r>
    </w:p>
    <w:p>
      <w:pPr>
        <w:spacing w:after="60"/>
      </w:pPr>
      <w:r>
        <w:rPr>
          <w:b/>
          <w:sz w:val="21"/>
        </w:rPr>
        <w:t xml:space="preserve">Reporting channels:  </w:t>
      </w:r>
      <w:r>
        <w:rPr>
          <w:i/>
          <w:color w:val="6B7284"/>
          <w:sz w:val="21"/>
        </w:rPr>
        <w:t>[ helpdesk, mailbox, phone, monitoring alerts, third parties, customers ]</w:t>
      </w:r>
    </w:p>
    <w:p>
      <w:pPr>
        <w:spacing w:after="60"/>
      </w:pPr>
      <w:r>
        <w:rPr>
          <w:b/>
          <w:sz w:val="21"/>
        </w:rPr>
        <w:t xml:space="preserve">24/7 contact point (Req. 12.10.3):  </w:t>
      </w:r>
      <w:r>
        <w:rPr>
          <w:i/>
          <w:color w:val="6B7284"/>
          <w:sz w:val="21"/>
        </w:rPr>
        <w:t>[ one number and one mailbox that work at 3 a.m. ]</w:t>
      </w:r>
    </w:p>
    <w:p>
      <w:pPr>
        <w:spacing w:after="60"/>
      </w:pPr>
      <w:r>
        <w:rPr>
          <w:b/>
          <w:sz w:val="21"/>
        </w:rPr>
        <w:t xml:space="preserve">Information to capture on first report:  </w:t>
      </w:r>
      <w:r>
        <w:rPr>
          <w:i/>
          <w:color w:val="6B7284"/>
          <w:sz w:val="21"/>
        </w:rPr>
        <w:t>[ who, what, when, systems affected, evidence already available ]</w:t>
      </w:r>
    </w:p>
    <w:p>
      <w:pPr>
        <w:pStyle w:val="Heading1"/>
        <w:spacing w:before="400" w:after="40"/>
        <w:keepNext w:val="1"/>
      </w:pPr>
      <w:r>
        <w:rPr>
          <w:b/>
          <w:color w:val="6D4BF0"/>
          <w:sz w:val="30"/>
        </w:rPr>
        <w:t>6. Response procedures by incident type</w:t>
      </w:r>
    </w:p>
    <w:p>
      <w:pPr>
        <w:spacing w:after="160"/>
        <w:keepNext w:val="1"/>
      </w:pPr>
      <w:r>
        <w:rPr>
          <w:b w:val="0"/>
          <w:i/>
          <w:color w:val="6B7284"/>
          <w:sz w:val="18"/>
        </w:rPr>
        <w:t>Short playbooks rather than prose. One per scenario, with first actions, who decides and what must not be done. Req. 12.10.1 expects containment and mitigation for different incident types.</w:t>
      </w:r>
    </w:p>
    <w:p>
      <w:pPr>
        <w:spacing w:after="60"/>
      </w:pPr>
      <w:r>
        <w:rPr>
          <w:b/>
          <w:sz w:val="21"/>
        </w:rPr>
        <w:t xml:space="preserve">Ransomware:  </w:t>
      </w:r>
      <w:r>
        <w:rPr>
          <w:i/>
          <w:color w:val="6B7284"/>
          <w:sz w:val="21"/>
        </w:rPr>
        <w:t>[ isolate before shutting down; do not power off before a memory capture ]</w:t>
      </w:r>
    </w:p>
    <w:p>
      <w:pPr>
        <w:spacing w:after="60"/>
      </w:pPr>
      <w:r>
        <w:rPr>
          <w:b/>
          <w:sz w:val="21"/>
        </w:rPr>
        <w:t xml:space="preserve">Cardholder data exposure:  </w:t>
      </w:r>
      <w:r>
        <w:rPr>
          <w:i/>
          <w:color w:val="6B7284"/>
          <w:sz w:val="21"/>
        </w:rPr>
        <w:t>[ acquirer notice and forensic investigator; preserve evidence first ]</w:t>
      </w:r>
    </w:p>
    <w:p>
      <w:pPr>
        <w:spacing w:after="60"/>
      </w:pPr>
      <w:r>
        <w:rPr>
          <w:b/>
          <w:sz w:val="21"/>
        </w:rPr>
        <w:t xml:space="preserve">Account compromise:  </w:t>
      </w:r>
      <w:r>
        <w:rPr>
          <w:i/>
          <w:color w:val="6B7284"/>
          <w:sz w:val="21"/>
        </w:rPr>
        <w:t>[ revoke sessions and tokens, not only the password ]</w:t>
      </w:r>
    </w:p>
    <w:p>
      <w:pPr>
        <w:spacing w:after="60"/>
      </w:pPr>
      <w:r>
        <w:rPr>
          <w:b/>
          <w:sz w:val="21"/>
        </w:rPr>
        <w:t xml:space="preserve">Supplier or third-party breach:  </w:t>
      </w:r>
      <w:r>
        <w:rPr>
          <w:i/>
          <w:color w:val="6B7284"/>
          <w:sz w:val="21"/>
        </w:rPr>
        <w:t>[ contract clauses, who calls them, what you can demand ]</w:t>
      </w:r>
    </w:p>
    <w:p>
      <w:pPr>
        <w:spacing w:after="60"/>
      </w:pPr>
      <w:r>
        <w:rPr>
          <w:b/>
          <w:sz w:val="21"/>
        </w:rPr>
        <w:t xml:space="preserve">Insider misuse:  </w:t>
      </w:r>
      <w:r>
        <w:rPr>
          <w:i/>
          <w:color w:val="6B7284"/>
          <w:sz w:val="21"/>
        </w:rPr>
        <w:t>[ HR and legal involved before any confrontation ]</w:t>
      </w:r>
    </w:p>
    <w:p>
      <w:pPr>
        <w:spacing w:after="60"/>
      </w:pPr>
      <w:r>
        <w:rPr>
          <w:b/>
          <w:sz w:val="21"/>
        </w:rPr>
        <w:t xml:space="preserve">Denial of service:  </w:t>
      </w:r>
      <w:r>
        <w:rPr>
          <w:i/>
          <w:color w:val="6B7284"/>
          <w:sz w:val="21"/>
        </w:rPr>
        <w:t>[ upstream provider contact and the traffic thresholds that trigger it ]</w:t>
      </w:r>
    </w:p>
    <w:p>
      <w:pPr>
        <w:spacing w:after="60"/>
      </w:pPr>
      <w:r>
        <w:rPr>
          <w:b/>
          <w:sz w:val="21"/>
        </w:rPr>
        <w:t xml:space="preserve">PAN found where it should not be (Req. 12.10.7):  </w:t>
      </w:r>
      <w:r>
        <w:rPr>
          <w:i/>
          <w:color w:val="6B7284"/>
          <w:sz w:val="21"/>
        </w:rPr>
        <w:t>[ how it was found, secure deletion, and why it got there ]</w:t>
      </w:r>
    </w:p>
    <w:p>
      <w:pPr>
        <w:pStyle w:val="Heading1"/>
        <w:spacing w:before="400" w:after="40"/>
        <w:keepNext w:val="1"/>
      </w:pPr>
      <w:r>
        <w:rPr>
          <w:b/>
          <w:color w:val="6D4BF0"/>
          <w:sz w:val="30"/>
        </w:rPr>
        <w:t>7. Containment, evidence and eradication</w:t>
      </w:r>
    </w:p>
    <w:p>
      <w:pPr>
        <w:spacing w:after="160"/>
        <w:keepNext w:val="1"/>
      </w:pPr>
      <w:r>
        <w:rPr>
          <w:b w:val="0"/>
          <w:i/>
          <w:color w:val="6B7284"/>
          <w:sz w:val="18"/>
        </w:rPr>
        <w:t>Who authorizes isolating or shutting down production, and the rule that evidence is preserved before anything is rebuilt. Include chain of custody and log retention.</w:t>
      </w:r>
    </w:p>
    <w:p>
      <w:pPr>
        <w:spacing w:after="60"/>
      </w:pPr>
      <w:r>
        <w:rPr>
          <w:b/>
          <w:sz w:val="21"/>
        </w:rPr>
        <w:t xml:space="preserve">Authorization to isolate or shut down:  </w:t>
      </w:r>
      <w:r>
        <w:rPr>
          <w:i/>
          <w:color w:val="6B7284"/>
          <w:sz w:val="21"/>
        </w:rPr>
        <w:t>[ the role that can decide, plus an out-of-hours substitute ]</w:t>
      </w:r>
    </w:p>
    <w:p>
      <w:pPr>
        <w:spacing w:after="60"/>
      </w:pPr>
      <w:r>
        <w:rPr>
          <w:b/>
          <w:sz w:val="21"/>
        </w:rPr>
        <w:t xml:space="preserve">Evidence preservation steps:  </w:t>
      </w:r>
      <w:r>
        <w:rPr>
          <w:i/>
          <w:color w:val="6B7284"/>
          <w:sz w:val="21"/>
        </w:rPr>
        <w:t>[ memory, then disk, then logs ]</w:t>
      </w:r>
    </w:p>
    <w:p>
      <w:pPr>
        <w:spacing w:after="60"/>
      </w:pPr>
      <w:r>
        <w:rPr>
          <w:b/>
          <w:sz w:val="21"/>
        </w:rPr>
        <w:t xml:space="preserve">Chain of custody:  </w:t>
      </w:r>
      <w:r>
        <w:rPr>
          <w:i/>
          <w:color w:val="6B7284"/>
          <w:sz w:val="21"/>
        </w:rPr>
        <w:t>[ who holds what, and where that is recorded ]</w:t>
      </w:r>
    </w:p>
    <w:p>
      <w:pPr>
        <w:spacing w:after="60"/>
      </w:pPr>
      <w:r>
        <w:rPr>
          <w:b/>
          <w:sz w:val="21"/>
        </w:rPr>
        <w:t xml:space="preserve">Eradication criteria:  </w:t>
      </w:r>
      <w:r>
        <w:rPr>
          <w:i/>
          <w:color w:val="6B7284"/>
          <w:sz w:val="21"/>
        </w:rPr>
        <w:t>[ how you know the attacker is out ]</w:t>
      </w:r>
    </w:p>
    <w:p>
      <w:pPr>
        <w:pStyle w:val="Heading1"/>
        <w:spacing w:before="400" w:after="40"/>
        <w:keepNext w:val="1"/>
      </w:pPr>
      <w:r>
        <w:rPr>
          <w:b/>
          <w:color w:val="6D4BF0"/>
          <w:sz w:val="30"/>
        </w:rPr>
        <w:t>8. Communications</w:t>
      </w:r>
    </w:p>
    <w:p>
      <w:pPr>
        <w:spacing w:after="160"/>
        <w:keepNext w:val="1"/>
      </w:pPr>
      <w:r>
        <w:rPr>
          <w:b w:val="0"/>
          <w:i/>
          <w:color w:val="6B7284"/>
          <w:sz w:val="18"/>
        </w:rPr>
        <w:t>Internal, customers, regulators, acquirer and payment brands, law enforcement, insurer. Include holding statements written in advance.</w:t>
      </w:r>
    </w:p>
    <w:p>
      <w:pPr>
        <w:spacing w:after="60"/>
      </w:pPr>
      <w:r>
        <w:rPr>
          <w:b/>
          <w:sz w:val="21"/>
        </w:rPr>
        <w:t xml:space="preserve">Internal escalation:  </w:t>
      </w:r>
      <w:r>
        <w:rPr>
          <w:i/>
          <w:color w:val="6B7284"/>
          <w:sz w:val="21"/>
        </w:rPr>
        <w:t>[ who is told, in what order, through which channel ]</w:t>
      </w:r>
    </w:p>
    <w:p>
      <w:pPr>
        <w:spacing w:after="60"/>
      </w:pPr>
      <w:r>
        <w:rPr>
          <w:b/>
          <w:sz w:val="21"/>
        </w:rPr>
        <w:t xml:space="preserve">Customer notification:  </w:t>
      </w:r>
      <w:r>
        <w:rPr>
          <w:i/>
          <w:color w:val="6B7284"/>
          <w:sz w:val="21"/>
        </w:rPr>
        <w:t>[ who signs it off, and within what deadline ]</w:t>
      </w:r>
    </w:p>
    <w:p>
      <w:pPr>
        <w:spacing w:after="60"/>
      </w:pPr>
      <w:r>
        <w:rPr>
          <w:b/>
          <w:sz w:val="21"/>
        </w:rPr>
        <w:t xml:space="preserve">Regulator notification:  </w:t>
      </w:r>
      <w:r>
        <w:rPr>
          <w:i/>
          <w:color w:val="6B7284"/>
          <w:sz w:val="21"/>
        </w:rPr>
        <w:t>[ which regulator, which deadline, which mailbox ]</w:t>
      </w:r>
    </w:p>
    <w:p>
      <w:pPr>
        <w:spacing w:after="60"/>
      </w:pPr>
      <w:r>
        <w:rPr>
          <w:b/>
          <w:sz w:val="21"/>
        </w:rPr>
        <w:t xml:space="preserve">Acquirer and payment brands:  </w:t>
      </w:r>
      <w:r>
        <w:rPr>
          <w:i/>
          <w:color w:val="6B7284"/>
          <w:sz w:val="21"/>
        </w:rPr>
        <w:t>[ merchant account number and a named contact ]</w:t>
      </w:r>
    </w:p>
    <w:p>
      <w:pPr>
        <w:spacing w:after="60"/>
      </w:pPr>
      <w:r>
        <w:rPr>
          <w:b/>
          <w:sz w:val="21"/>
        </w:rPr>
        <w:t xml:space="preserve">Law enforcement:  </w:t>
      </w:r>
      <w:r>
        <w:rPr>
          <w:i/>
          <w:color w:val="6B7284"/>
          <w:sz w:val="21"/>
        </w:rPr>
        <w:t>[ when you call, and who calls ]</w:t>
      </w:r>
    </w:p>
    <w:p>
      <w:pPr>
        <w:spacing w:after="60"/>
      </w:pPr>
      <w:r>
        <w:rPr>
          <w:b/>
          <w:sz w:val="21"/>
        </w:rPr>
        <w:t xml:space="preserve">Holding statements:  </w:t>
      </w:r>
      <w:r>
        <w:rPr>
          <w:i/>
          <w:color w:val="6B7284"/>
          <w:sz w:val="21"/>
        </w:rPr>
        <w:t>[ write them now, not during the incident ]</w:t>
      </w:r>
    </w:p>
    <w:p>
      <w:pPr>
        <w:pStyle w:val="Heading1"/>
        <w:spacing w:before="400" w:after="40"/>
        <w:keepNext w:val="1"/>
      </w:pPr>
      <w:r>
        <w:rPr>
          <w:b/>
          <w:color w:val="6D4BF0"/>
          <w:sz w:val="30"/>
        </w:rPr>
        <w:t>9. Legal and regulatory obligations</w:t>
      </w:r>
    </w:p>
    <w:p>
      <w:pPr>
        <w:spacing w:after="160"/>
        <w:keepNext w:val="1"/>
      </w:pPr>
      <w:r>
        <w:rPr>
          <w:b w:val="0"/>
          <w:i/>
          <w:color w:val="6B7284"/>
          <w:sz w:val="18"/>
        </w:rPr>
        <w:t>List the reporting duties that apply to you, by jurisdiction, with their deadlines. Req. 12.10.1 requires an analysis of legal requirements for reporting compromises.</w:t>
      </w:r>
    </w:p>
    <w:p>
      <w:pPr>
        <w:spacing w:after="60"/>
      </w:pPr>
      <w:r>
        <w:rPr>
          <w:b/>
          <w:sz w:val="21"/>
        </w:rPr>
        <w:t xml:space="preserve">Applicable obligations and deadlines:  </w:t>
      </w:r>
      <w:r>
        <w:rPr>
          <w:i/>
          <w:color w:val="6B7284"/>
          <w:sz w:val="21"/>
        </w:rPr>
        <w:t>[ one line per jurisdiction ]</w:t>
      </w:r>
    </w:p>
    <w:p>
      <w:pPr>
        <w:spacing w:after="60"/>
      </w:pPr>
      <w:r>
        <w:rPr>
          <w:b/>
          <w:sz w:val="21"/>
        </w:rPr>
        <w:t xml:space="preserve">Who confirms the legal assessment:  </w:t>
      </w:r>
      <w:r>
        <w:rPr>
          <w:i/>
          <w:color w:val="6B7284"/>
          <w:sz w:val="21"/>
        </w:rPr>
        <w:t>[ name; internal or external ]</w:t>
      </w:r>
    </w:p>
    <w:p>
      <w:pPr>
        <w:pStyle w:val="Heading1"/>
        <w:spacing w:before="400" w:after="40"/>
        <w:keepNext w:val="1"/>
      </w:pPr>
      <w:r>
        <w:rPr>
          <w:b/>
          <w:color w:val="6D4BF0"/>
          <w:sz w:val="30"/>
        </w:rPr>
        <w:t>10. Business continuity, backup and recovery</w:t>
      </w:r>
    </w:p>
    <w:p>
      <w:pPr>
        <w:spacing w:after="160"/>
        <w:keepNext w:val="1"/>
      </w:pPr>
      <w:r>
        <w:rPr>
          <w:b w:val="0"/>
          <w:i/>
          <w:color w:val="6B7284"/>
          <w:sz w:val="18"/>
        </w:rPr>
        <w:t>How the business keeps operating, where the backups are, how restoration is verified and the criteria for declaring the incident closed.</w:t>
      </w:r>
    </w:p>
    <w:p>
      <w:pPr>
        <w:spacing w:after="60"/>
      </w:pPr>
      <w:r>
        <w:rPr>
          <w:b/>
          <w:sz w:val="21"/>
        </w:rPr>
        <w:t xml:space="preserve">Continuity procedures:  </w:t>
      </w:r>
      <w:r>
        <w:rPr>
          <w:i/>
          <w:color w:val="6B7284"/>
          <w:sz w:val="21"/>
        </w:rPr>
        <w:t>[ what keeps running, what runs degraded, in what order ]</w:t>
      </w:r>
    </w:p>
    <w:p>
      <w:pPr>
        <w:spacing w:after="60"/>
      </w:pPr>
      <w:r>
        <w:rPr>
          <w:b/>
          <w:sz w:val="21"/>
        </w:rPr>
        <w:t xml:space="preserve">Backup and restore process:  </w:t>
      </w:r>
      <w:r>
        <w:rPr>
          <w:i/>
          <w:color w:val="6B7284"/>
          <w:sz w:val="21"/>
        </w:rPr>
        <w:t>[ where they are, who can restore them, how long it takes ]</w:t>
      </w:r>
    </w:p>
    <w:p>
      <w:pPr>
        <w:spacing w:after="60"/>
      </w:pPr>
      <w:r>
        <w:rPr>
          <w:b/>
          <w:sz w:val="21"/>
        </w:rPr>
        <w:t xml:space="preserve">Verification before restoring:  </w:t>
      </w:r>
      <w:r>
        <w:rPr>
          <w:i/>
          <w:color w:val="6B7284"/>
          <w:sz w:val="21"/>
        </w:rPr>
        <w:t>[ how you avoid restoring the compromise along with the data ]</w:t>
      </w:r>
    </w:p>
    <w:p>
      <w:pPr>
        <w:spacing w:after="60"/>
      </w:pPr>
      <w:r>
        <w:rPr>
          <w:b/>
          <w:sz w:val="21"/>
        </w:rPr>
        <w:t xml:space="preserve">Closure criteria and sign-off:  </w:t>
      </w:r>
      <w:r>
        <w:rPr>
          <w:i/>
          <w:color w:val="6B7284"/>
          <w:sz w:val="21"/>
        </w:rPr>
        <w:t>[ who declares the incident closed ]</w:t>
      </w:r>
    </w:p>
    <w:p>
      <w:pPr>
        <w:pStyle w:val="Heading1"/>
        <w:spacing w:before="400" w:after="40"/>
        <w:keepNext w:val="1"/>
      </w:pPr>
      <w:r>
        <w:rPr>
          <w:b/>
          <w:color w:val="6D4BF0"/>
          <w:sz w:val="30"/>
        </w:rPr>
        <w:t>11. Post-incident review</w:t>
      </w:r>
    </w:p>
    <w:p>
      <w:pPr>
        <w:spacing w:after="160"/>
        <w:keepNext w:val="1"/>
      </w:pPr>
      <w:r>
        <w:rPr>
          <w:b w:val="0"/>
          <w:i/>
          <w:color w:val="6B7284"/>
          <w:sz w:val="18"/>
        </w:rPr>
        <w:t>Timeline, root cause, what worked and what did not, and actions with an owner and a date. Feed the result back into this plan (Req. 12.10.6).</w:t>
      </w:r>
    </w:p>
    <w:p>
      <w:pPr>
        <w:spacing w:after="60"/>
      </w:pPr>
      <w:r>
        <w:rPr>
          <w:b/>
          <w:sz w:val="21"/>
        </w:rPr>
        <w:t xml:space="preserve">Review meeting and participants:  </w:t>
      </w:r>
      <w:r>
        <w:rPr>
          <w:i/>
          <w:color w:val="6B7284"/>
          <w:sz w:val="21"/>
        </w:rPr>
        <w:t>[ within how many days of closure ]</w:t>
      </w:r>
    </w:p>
    <w:p>
      <w:pPr>
        <w:spacing w:after="60"/>
      </w:pPr>
      <w:r>
        <w:rPr>
          <w:b/>
          <w:sz w:val="21"/>
        </w:rPr>
        <w:t xml:space="preserve">Root cause:  </w:t>
      </w:r>
      <w:r>
        <w:rPr>
          <w:i/>
          <w:color w:val="6B7284"/>
          <w:sz w:val="21"/>
        </w:rPr>
        <w:t>[ the cause, not the symptom ]</w:t>
      </w:r>
    </w:p>
    <w:p>
      <w:pPr>
        <w:spacing w:after="60"/>
      </w:pPr>
      <w:r>
        <w:rPr>
          <w:b/>
          <w:sz w:val="21"/>
        </w:rPr>
        <w:t xml:space="preserve">Actions with owner and date:  </w:t>
      </w:r>
      <w:r>
        <w:rPr>
          <w:i/>
          <w:color w:val="6B7284"/>
          <w:sz w:val="21"/>
        </w:rPr>
        <w:t>[ an action without a name on it is not an action ]</w:t>
      </w:r>
    </w:p>
    <w:p>
      <w:pPr>
        <w:spacing w:after="60"/>
      </w:pPr>
      <w:r>
        <w:rPr>
          <w:b/>
          <w:sz w:val="21"/>
        </w:rPr>
        <w:t xml:space="preserve">Changes made to this plan:  </w:t>
      </w:r>
      <w:r>
        <w:rPr>
          <w:i/>
          <w:color w:val="6B7284"/>
          <w:sz w:val="21"/>
        </w:rPr>
        <w:t>[ feed the lessons back in (Req. 12.10.6) ]</w:t>
      </w:r>
    </w:p>
    <w:p>
      <w:pPr>
        <w:pStyle w:val="Heading1"/>
        <w:spacing w:before="400" w:after="40"/>
        <w:keepNext w:val="1"/>
      </w:pPr>
      <w:r>
        <w:rPr>
          <w:b/>
          <w:color w:val="6D4BF0"/>
          <w:sz w:val="30"/>
        </w:rPr>
        <w:t>12. Testing, training and maintenance</w:t>
      </w:r>
    </w:p>
    <w:p>
      <w:pPr>
        <w:spacing w:after="160"/>
        <w:keepNext w:val="1"/>
      </w:pPr>
      <w:r>
        <w:rPr>
          <w:b w:val="0"/>
          <w:i/>
          <w:color w:val="6B7284"/>
          <w:sz w:val="18"/>
        </w:rPr>
        <w:t>The test at least every 12 months (Req. 12.10.2), the training program with a frequency justified by a targeted risk analysis (Req. 12.10.4 and 12.10.4.1), and the alert-handling scope (Req. 12.10.5).</w:t>
      </w:r>
    </w:p>
    <w:p>
      <w:pPr>
        <w:spacing w:after="60"/>
      </w:pPr>
      <w:r>
        <w:rPr>
          <w:b/>
          <w:sz w:val="21"/>
        </w:rPr>
        <w:t xml:space="preserve">Annual test: scenario, participants, findings:  </w:t>
      </w:r>
      <w:r>
        <w:rPr>
          <w:i/>
          <w:color w:val="6B7284"/>
          <w:sz w:val="21"/>
        </w:rPr>
        <w:t>[ at least every 12 months (Req. 12.10.2) ]</w:t>
      </w:r>
    </w:p>
    <w:p>
      <w:pPr>
        <w:spacing w:after="60"/>
      </w:pPr>
      <w:r>
        <w:rPr>
          <w:b/>
          <w:sz w:val="21"/>
        </w:rPr>
        <w:t xml:space="preserve">Training program and frequency:  </w:t>
      </w:r>
      <w:r>
        <w:rPr>
          <w:i/>
          <w:color w:val="6B7284"/>
          <w:sz w:val="21"/>
        </w:rPr>
        <w:t>[ frequency justified by a targeted risk analysis (Req. 12.10.4.1) ]</w:t>
      </w:r>
    </w:p>
    <w:p>
      <w:pPr>
        <w:spacing w:after="60"/>
      </w:pPr>
      <w:r>
        <w:rPr>
          <w:b/>
          <w:sz w:val="21"/>
        </w:rPr>
        <w:t xml:space="preserve">Security alerts covered:  </w:t>
      </w:r>
      <w:r>
        <w:rPr>
          <w:i/>
          <w:color w:val="6B7284"/>
          <w:sz w:val="21"/>
        </w:rPr>
        <w:t>[ IDS/IPS, file integrity monitoring, change detection ]</w:t>
      </w:r>
    </w:p>
    <w:p>
      <w:pPr>
        <w:spacing w:after="60"/>
      </w:pPr>
      <w:r>
        <w:rPr>
          <w:b/>
          <w:sz w:val="21"/>
        </w:rPr>
        <w:t xml:space="preserve">Plan review schedule:  </w:t>
      </w:r>
      <w:r>
        <w:rPr>
          <w:i/>
          <w:color w:val="6B7284"/>
          <w:sz w:val="21"/>
        </w:rPr>
        <w:t>[ dates, and who owns the review ]</w:t>
      </w:r>
    </w:p>
    <w:p>
      <w:pPr>
        <w:pStyle w:val="Heading1"/>
        <w:spacing w:before="400" w:after="40"/>
        <w:keepNext w:val="1"/>
      </w:pPr>
      <w:r>
        <w:rPr>
          <w:b/>
          <w:color w:val="6D4BF0"/>
          <w:sz w:val="30"/>
        </w:rPr>
        <w:t>13. Appendices</w:t>
      </w:r>
    </w:p>
    <w:p>
      <w:pPr>
        <w:spacing w:after="160"/>
        <w:keepNext w:val="1"/>
      </w:pPr>
      <w:r>
        <w:rPr>
          <w:b w:val="0"/>
          <w:i/>
          <w:color w:val="6B7284"/>
          <w:sz w:val="18"/>
        </w:rPr>
        <w:t>Keep a printed copy. Your plan may live on the network you just disconnected.</w:t>
      </w:r>
    </w:p>
    <w:p>
      <w:pPr>
        <w:spacing w:after="60"/>
      </w:pPr>
      <w:r>
        <w:rPr>
          <w:b/>
          <w:sz w:val="21"/>
        </w:rPr>
        <w:t xml:space="preserve">Contact list:  </w:t>
      </w:r>
      <w:r>
        <w:rPr>
          <w:i/>
          <w:color w:val="6B7284"/>
          <w:sz w:val="21"/>
        </w:rPr>
        <w:t>[ print it ]</w:t>
      </w:r>
    </w:p>
    <w:p>
      <w:pPr>
        <w:spacing w:after="60"/>
      </w:pPr>
      <w:r>
        <w:rPr>
          <w:b/>
          <w:sz w:val="21"/>
        </w:rPr>
        <w:t xml:space="preserve">Critical systems inventory:  </w:t>
      </w:r>
      <w:r>
        <w:rPr>
          <w:i/>
          <w:color w:val="6B7284"/>
          <w:sz w:val="21"/>
        </w:rPr>
        <w:t>[ with named owners ]</w:t>
      </w:r>
    </w:p>
    <w:p>
      <w:pPr>
        <w:spacing w:after="60"/>
      </w:pPr>
      <w:r>
        <w:rPr>
          <w:b/>
          <w:sz w:val="21"/>
        </w:rPr>
        <w:t xml:space="preserve">Decision log template:  </w:t>
      </w:r>
      <w:r>
        <w:rPr>
          <w:i/>
          <w:color w:val="6B7284"/>
          <w:sz w:val="21"/>
        </w:rPr>
        <w:t>[ time-stamped entries ]</w:t>
      </w:r>
    </w:p>
    <w:p>
      <w:pPr>
        <w:spacing w:after="60"/>
      </w:pPr>
      <w:r>
        <w:rPr>
          <w:b/>
          <w:sz w:val="21"/>
        </w:rPr>
        <w:t xml:space="preserve">Communication templates:  </w:t>
      </w:r>
      <w:r>
        <w:rPr>
          <w:i/>
          <w:color w:val="6B7284"/>
          <w:sz w:val="21"/>
        </w:rPr>
        <w:t>[ internal, customer, regulator ]</w:t>
      </w:r>
    </w:p>
    <w:p>
      <w:pPr>
        <w:spacing w:after="60"/>
      </w:pPr>
      <w:r>
        <w:rPr>
          <w:b/>
          <w:sz w:val="21"/>
        </w:rPr>
        <w:t xml:space="preserve">Printed copy location:  </w:t>
      </w:r>
      <w:r>
        <w:rPr>
          <w:i/>
          <w:color w:val="6B7284"/>
          <w:sz w:val="21"/>
        </w:rPr>
        <w:t>[ physical location, and who else holds a copy ]</w:t>
      </w:r>
    </w:p>
    <w:p>
      <w:r>
        <w:br w:type="page"/>
      </w:r>
    </w:p>
    <w:p>
      <w:pPr>
        <w:pStyle w:val="Heading1"/>
        <w:spacing w:before="400" w:after="40"/>
        <w:keepNext w:val="1"/>
      </w:pPr>
      <w:r>
        <w:rPr>
          <w:b/>
          <w:color w:val="6D4BF0"/>
          <w:sz w:val="30"/>
        </w:rPr>
        <w:t>Annex A — The first hour</w:t>
      </w:r>
    </w:p>
    <w:p>
      <w:pPr>
        <w:spacing w:after="160"/>
        <w:keepNext w:val="1"/>
      </w:pPr>
      <w:r>
        <w:rPr>
          <w:b w:val="0"/>
          <w:i/>
          <w:color w:val="6B7284"/>
          <w:sz w:val="18"/>
        </w:rPr>
        <w:t>Keep this page first in the printed copy.</w:t>
      </w:r>
    </w:p>
    <w:p>
      <w:pPr>
        <w:pStyle w:val="ListNumber"/>
        <w:spacing w:after="80"/>
      </w:pPr>
      <w:r>
        <w:t>Write down the time and open a decision log; timestamp every entry.</w:t>
      </w:r>
    </w:p>
    <w:p>
      <w:pPr>
        <w:pStyle w:val="ListNumber"/>
        <w:spacing w:after="80"/>
      </w:pPr>
      <w:r>
        <w:t>Assign the incident lead by name. The lead does not do the technical work.</w:t>
      </w:r>
    </w:p>
    <w:p>
      <w:pPr>
        <w:pStyle w:val="ListNumber"/>
        <w:spacing w:after="80"/>
      </w:pPr>
      <w:r>
        <w:t>Classify the severity. Re-classify later if it grows; under-calling is the common error.</w:t>
      </w:r>
    </w:p>
    <w:p>
      <w:pPr>
        <w:pStyle w:val="ListNumber"/>
        <w:spacing w:after="80"/>
      </w:pPr>
      <w:r>
        <w:t>Preserve evidence before touching anything: memory captures and log copies first.</w:t>
      </w:r>
    </w:p>
    <w:p>
      <w:pPr>
        <w:pStyle w:val="ListNumber"/>
        <w:spacing w:after="80"/>
      </w:pPr>
      <w:r>
        <w:t>Contain what you can without destroying evidence: isolate, disable accounts, revoke sessions.</w:t>
      </w:r>
    </w:p>
    <w:p>
      <w:pPr>
        <w:pStyle w:val="ListNumber"/>
        <w:spacing w:after="80"/>
      </w:pPr>
      <w:r>
        <w:t>Open the agreed communication channel; assume the usual one may be compromised.</w:t>
      </w:r>
    </w:p>
    <w:p>
      <w:pPr>
        <w:pStyle w:val="ListNumber"/>
        <w:spacing w:after="80"/>
      </w:pPr>
      <w:r>
        <w:t>Notify who the plan says, on the clock the plan gives you. Cardholder data involved means the acquirer.</w:t>
      </w:r>
    </w:p>
    <w:p>
      <w:pPr>
        <w:pStyle w:val="ListNumber"/>
        <w:spacing w:after="80"/>
      </w:pPr>
      <w:r>
        <w:t>Decide early whether you need forensics, legal or your insurer.</w:t>
      </w:r>
    </w:p>
    <w:sectPr w:rsidR="00FC693F" w:rsidRPr="0006063C" w:rsidSect="00034616">
      <w:footerReference w:type="default" r:id="rId9"/>
      <w:pgSz w:w="12240" w:h="15840"/>
      <w:pgMar w:top="1361" w:right="1474" w:bottom="124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4"/>
        <w:sz w:val="16"/>
      </w:rPr>
      <w:t>Incident Response Plan — template · Nordstern Technologies · nordsterntech.com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 template</dc:title>
  <dc:subject/>
  <dc:creator>Nordstern Technologies</dc:creator>
  <cp:keywords/>
  <dc:description>Aligned to NIST SP 800-61r3 and PCI DSS v4.0.1 Requirement 12.10</dc:description>
  <cp:lastModifiedBy/>
  <cp:revision>1</cp:revision>
  <dcterms:created xsi:type="dcterms:W3CDTF">2013-12-23T23:15:00Z</dcterms:created>
  <dcterms:modified xsi:type="dcterms:W3CDTF">2013-12-23T23:15:00Z</dcterms:modified>
  <cp:category/>
</cp:coreProperties>
</file>